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CF29" w14:textId="256CD6D7" w:rsidR="00F719E4" w:rsidRPr="00EC4915" w:rsidRDefault="00EC4915" w:rsidP="00FA6424">
      <w:pPr>
        <w:rPr>
          <w:sz w:val="28"/>
          <w:szCs w:val="28"/>
        </w:rPr>
      </w:pPr>
      <w:r w:rsidRPr="00EC4915">
        <w:rPr>
          <w:sz w:val="28"/>
          <w:szCs w:val="28"/>
        </w:rPr>
        <w:t>Podróżnicy i wyprawy</w:t>
      </w:r>
    </w:p>
    <w:p w14:paraId="73F4C395" w14:textId="71208FCE" w:rsidR="00EC4915" w:rsidRPr="00EC4915" w:rsidRDefault="00EC4915" w:rsidP="00FA6424">
      <w:pPr>
        <w:rPr>
          <w:sz w:val="28"/>
          <w:szCs w:val="28"/>
        </w:rPr>
      </w:pPr>
      <w:r w:rsidRPr="00EC4915">
        <w:rPr>
          <w:sz w:val="28"/>
          <w:szCs w:val="28"/>
        </w:rPr>
        <w:t xml:space="preserve">2020/2021 </w:t>
      </w:r>
    </w:p>
    <w:p w14:paraId="5B7AAE60" w14:textId="0939B725" w:rsidR="00EC4915" w:rsidRPr="00EC4915" w:rsidRDefault="00EC4915" w:rsidP="00FA6424">
      <w:pPr>
        <w:rPr>
          <w:sz w:val="28"/>
          <w:szCs w:val="28"/>
        </w:rPr>
      </w:pPr>
      <w:r w:rsidRPr="00EC4915">
        <w:rPr>
          <w:sz w:val="28"/>
          <w:szCs w:val="28"/>
        </w:rPr>
        <w:t>Dr Przemysław Piwowarczyk</w:t>
      </w:r>
    </w:p>
    <w:p w14:paraId="0633A9BD" w14:textId="070359FB" w:rsidR="00EC4915" w:rsidRDefault="00EC4915" w:rsidP="00FA6424"/>
    <w:p w14:paraId="269FAD01" w14:textId="6ED0330D" w:rsidR="00EC4915" w:rsidRDefault="00EC4915" w:rsidP="00EC4915">
      <w:pPr>
        <w:jc w:val="center"/>
      </w:pPr>
      <w:proofErr w:type="spellStart"/>
      <w:r>
        <w:t>Syllabus</w:t>
      </w:r>
      <w:proofErr w:type="spellEnd"/>
    </w:p>
    <w:p w14:paraId="47610BE7" w14:textId="77777777" w:rsidR="00EC4915" w:rsidRDefault="00EC4915" w:rsidP="00EC4915"/>
    <w:p w14:paraId="060EB2C6" w14:textId="38FE15DF" w:rsidR="00D839B9" w:rsidRDefault="00EC4915" w:rsidP="00EC4915">
      <w:r>
        <w:t>1.</w:t>
      </w:r>
      <w:r w:rsidR="00FA6424" w:rsidRPr="00FA6424">
        <w:t>Homer, Odyseja IX-XII (prz</w:t>
      </w:r>
      <w:r w:rsidR="00FA6424">
        <w:t>ekład dowolny)</w:t>
      </w:r>
      <w:r>
        <w:t>;</w:t>
      </w:r>
    </w:p>
    <w:p w14:paraId="533BBF63" w14:textId="462F58C1" w:rsidR="00EC4915" w:rsidRDefault="00EC4915" w:rsidP="00EC4915">
      <w:r w:rsidRPr="00553CC4">
        <w:t>Vidal-</w:t>
      </w:r>
      <w:proofErr w:type="spellStart"/>
      <w:r w:rsidRPr="00553CC4">
        <w:t>Naquet</w:t>
      </w:r>
      <w:proofErr w:type="spellEnd"/>
      <w:r w:rsidRPr="00553CC4">
        <w:t xml:space="preserve"> P.,</w:t>
      </w:r>
      <w:r w:rsidRPr="00EC4915">
        <w:rPr>
          <w:i/>
          <w:iCs/>
        </w:rPr>
        <w:t xml:space="preserve"> Religijne i mityczne aspekty ziemi i ofiary w Odysei</w:t>
      </w:r>
      <w:r w:rsidRPr="00553CC4">
        <w:t xml:space="preserve">, [w:] tenże: </w:t>
      </w:r>
      <w:r w:rsidRPr="00EC4915">
        <w:rPr>
          <w:i/>
          <w:iCs/>
        </w:rPr>
        <w:t>Czarny Łowca. Formy myśli i formy życia społecznego w świecie greckim</w:t>
      </w:r>
      <w:r w:rsidRPr="00553CC4">
        <w:t>, Warszawa 2003, s. 37-61.</w:t>
      </w:r>
    </w:p>
    <w:p w14:paraId="4BADBF46" w14:textId="638FABCE" w:rsidR="00F719E4" w:rsidRDefault="00F719E4" w:rsidP="00FA6424"/>
    <w:p w14:paraId="7010B4F1" w14:textId="5DFBC58E" w:rsidR="00010BBD" w:rsidRPr="00BB6CF6" w:rsidRDefault="00F719E4" w:rsidP="00FA6424">
      <w:r w:rsidRPr="00BB6CF6">
        <w:t xml:space="preserve">2. </w:t>
      </w:r>
      <w:r w:rsidR="00010BBD" w:rsidRPr="00BB6CF6">
        <w:t>Nieco teorii</w:t>
      </w:r>
    </w:p>
    <w:p w14:paraId="19BEF3B3" w14:textId="0699D2AC" w:rsidR="00F719E4" w:rsidRDefault="00F719E4" w:rsidP="00FA6424">
      <w:r w:rsidRPr="00BB6CF6">
        <w:t xml:space="preserve">M. Eliade, </w:t>
      </w:r>
      <w:r w:rsidRPr="00BB6CF6">
        <w:rPr>
          <w:i/>
        </w:rPr>
        <w:t>Sacrum – mit – historia</w:t>
      </w:r>
      <w:r w:rsidRPr="00BB6CF6">
        <w:t xml:space="preserve">. </w:t>
      </w:r>
      <w:r w:rsidRPr="00211080">
        <w:t>Wy</w:t>
      </w:r>
      <w:r>
        <w:t>b</w:t>
      </w:r>
      <w:r w:rsidRPr="00211080">
        <w:t>ór esejów,</w:t>
      </w:r>
      <w:r>
        <w:t xml:space="preserve"> przeł. A. Tatarkiewicz, Warszawa 1974, s. 70-79</w:t>
      </w:r>
      <w:r w:rsidR="00EC4915">
        <w:t>;</w:t>
      </w:r>
    </w:p>
    <w:p w14:paraId="2FDDB65F" w14:textId="751B62C9" w:rsidR="00010BBD" w:rsidRDefault="00010BBD" w:rsidP="00FA6424">
      <w:r>
        <w:t xml:space="preserve">Z. </w:t>
      </w:r>
      <w:proofErr w:type="spellStart"/>
      <w:r>
        <w:t>Benedyktowicz</w:t>
      </w:r>
      <w:proofErr w:type="spellEnd"/>
      <w:r>
        <w:t xml:space="preserve">, </w:t>
      </w:r>
      <w:r w:rsidRPr="00670369">
        <w:rPr>
          <w:i/>
          <w:iCs/>
        </w:rPr>
        <w:t>Portrety „obcego”</w:t>
      </w:r>
      <w:r>
        <w:t>, Kraków 2000, s. 124-150</w:t>
      </w:r>
      <w:r w:rsidR="00EC4915">
        <w:t>.</w:t>
      </w:r>
    </w:p>
    <w:p w14:paraId="2AE718C4" w14:textId="16ABABA8" w:rsidR="00F719E4" w:rsidRPr="00FA6424" w:rsidRDefault="00F719E4" w:rsidP="00FA6424"/>
    <w:p w14:paraId="41768849" w14:textId="72ADFDDD" w:rsidR="009827C9" w:rsidRDefault="00010BBD" w:rsidP="00FA6424">
      <w:r>
        <w:t>3</w:t>
      </w:r>
      <w:r w:rsidR="00FA6424">
        <w:t xml:space="preserve">. Herodot, </w:t>
      </w:r>
      <w:r w:rsidR="00FA6424" w:rsidRPr="00FA6424">
        <w:rPr>
          <w:i/>
          <w:iCs/>
        </w:rPr>
        <w:t>Dzieje</w:t>
      </w:r>
      <w:r w:rsidR="00FA6424">
        <w:t>, przeł. S. Hammer, Warszawa 2002, s. 110-113 (II 28-33,</w:t>
      </w:r>
      <w:r w:rsidR="00670369">
        <w:t xml:space="preserve"> </w:t>
      </w:r>
      <w:r w:rsidR="00FA6424">
        <w:t>źródła Nilu), 207-212 (III 98-118, Indie), s. 233-240 (IV 13-40, Scytia)</w:t>
      </w:r>
      <w:r w:rsidR="00EC4915">
        <w:t>.</w:t>
      </w:r>
    </w:p>
    <w:p w14:paraId="27A08E1C" w14:textId="3EB1CA56" w:rsidR="00FA6424" w:rsidRDefault="00FA6424" w:rsidP="00FA6424"/>
    <w:p w14:paraId="45AC1A70" w14:textId="25005663" w:rsidR="007A13A5" w:rsidRDefault="00010BBD" w:rsidP="00FA6424">
      <w:r>
        <w:t>4</w:t>
      </w:r>
      <w:r w:rsidR="00EC4915">
        <w:t xml:space="preserve">. </w:t>
      </w:r>
      <w:proofErr w:type="spellStart"/>
      <w:r w:rsidR="007A13A5" w:rsidRPr="00D839B9">
        <w:rPr>
          <w:i/>
          <w:iCs/>
        </w:rPr>
        <w:t>Periplus</w:t>
      </w:r>
      <w:proofErr w:type="spellEnd"/>
      <w:r w:rsidR="007A13A5" w:rsidRPr="00D839B9">
        <w:rPr>
          <w:i/>
          <w:iCs/>
        </w:rPr>
        <w:t xml:space="preserve"> </w:t>
      </w:r>
      <w:proofErr w:type="spellStart"/>
      <w:r w:rsidR="007A13A5" w:rsidRPr="00D839B9">
        <w:rPr>
          <w:i/>
          <w:iCs/>
        </w:rPr>
        <w:t>Skylaksa</w:t>
      </w:r>
      <w:proofErr w:type="spellEnd"/>
      <w:r w:rsidR="007A13A5" w:rsidRPr="00D839B9">
        <w:rPr>
          <w:i/>
          <w:iCs/>
        </w:rPr>
        <w:t xml:space="preserve"> z </w:t>
      </w:r>
      <w:proofErr w:type="spellStart"/>
      <w:r w:rsidR="007A13A5" w:rsidRPr="00D839B9">
        <w:rPr>
          <w:i/>
          <w:iCs/>
        </w:rPr>
        <w:t>Karyandy</w:t>
      </w:r>
      <w:proofErr w:type="spellEnd"/>
      <w:r w:rsidR="007A13A5">
        <w:t xml:space="preserve">, przeł. K. </w:t>
      </w:r>
      <w:proofErr w:type="spellStart"/>
      <w:r w:rsidR="007A13A5">
        <w:t>Głombinowski</w:t>
      </w:r>
      <w:proofErr w:type="spellEnd"/>
      <w:r w:rsidR="007A13A5">
        <w:t xml:space="preserve"> Gdańsk 2005, s. 105-129 (Libia)</w:t>
      </w:r>
      <w:r w:rsidR="00EC4915">
        <w:t>.</w:t>
      </w:r>
    </w:p>
    <w:p w14:paraId="55DBD7D1" w14:textId="6DF33EE5" w:rsidR="00987373" w:rsidRDefault="00987373" w:rsidP="00FA6424"/>
    <w:p w14:paraId="27C0CC75" w14:textId="18FEEC88" w:rsidR="00987373" w:rsidRDefault="00010BBD" w:rsidP="00FA6424">
      <w:r>
        <w:t>5</w:t>
      </w:r>
      <w:r w:rsidR="00F719E4">
        <w:t xml:space="preserve">. </w:t>
      </w:r>
      <w:proofErr w:type="spellStart"/>
      <w:r w:rsidR="00987373">
        <w:t>Pomponiusz</w:t>
      </w:r>
      <w:proofErr w:type="spellEnd"/>
      <w:r w:rsidR="00987373">
        <w:t xml:space="preserve"> Mela, </w:t>
      </w:r>
      <w:proofErr w:type="spellStart"/>
      <w:r w:rsidR="00735CFB" w:rsidRPr="00735CFB">
        <w:rPr>
          <w:i/>
          <w:iCs/>
        </w:rPr>
        <w:t>Chorographia</w:t>
      </w:r>
      <w:proofErr w:type="spellEnd"/>
      <w:r w:rsidR="00735CFB" w:rsidRPr="00735CFB">
        <w:rPr>
          <w:i/>
          <w:iCs/>
        </w:rPr>
        <w:t xml:space="preserve"> czyli opis kręgu ziemi</w:t>
      </w:r>
      <w:r w:rsidR="00735CFB">
        <w:t xml:space="preserve">, przeł. </w:t>
      </w:r>
      <w:r w:rsidR="00735CFB" w:rsidRPr="00735CFB">
        <w:t xml:space="preserve">M. </w:t>
      </w:r>
      <w:proofErr w:type="spellStart"/>
      <w:r w:rsidR="00735CFB" w:rsidRPr="00735CFB">
        <w:t>Golias</w:t>
      </w:r>
      <w:proofErr w:type="spellEnd"/>
      <w:r w:rsidR="00735CFB" w:rsidRPr="00735CFB">
        <w:t xml:space="preserve">, K.T. Witczak, Piotrków Trybunalski 2011, </w:t>
      </w:r>
      <w:r w:rsidR="00987373" w:rsidRPr="00735CFB">
        <w:t>s. 1</w:t>
      </w:r>
      <w:r w:rsidR="00735CFB" w:rsidRPr="00735CFB">
        <w:t>45-167 (III 4-10)</w:t>
      </w:r>
      <w:r w:rsidR="00EC4915">
        <w:t>.</w:t>
      </w:r>
    </w:p>
    <w:p w14:paraId="5F0980B3" w14:textId="0A9B4C0A" w:rsidR="00010BBD" w:rsidRDefault="00010BBD" w:rsidP="00FA6424"/>
    <w:p w14:paraId="02C0DC86" w14:textId="06C4EBB6" w:rsidR="00010BBD" w:rsidRDefault="00010BBD" w:rsidP="00FA6424">
      <w:r>
        <w:t>6. Mapa Ptolemeusza</w:t>
      </w:r>
      <w:r w:rsidR="00EC4915">
        <w:t>.</w:t>
      </w:r>
    </w:p>
    <w:p w14:paraId="75515747" w14:textId="772EB615" w:rsidR="00F719E4" w:rsidRDefault="00F719E4" w:rsidP="00FA6424"/>
    <w:p w14:paraId="560C3299" w14:textId="1A34089B" w:rsidR="00EC4915" w:rsidRDefault="00EC4915" w:rsidP="00FA6424">
      <w:r>
        <w:t xml:space="preserve">7. </w:t>
      </w:r>
      <w:proofErr w:type="spellStart"/>
      <w:r>
        <w:t>Gajusz</w:t>
      </w:r>
      <w:proofErr w:type="spellEnd"/>
      <w:r>
        <w:t xml:space="preserve"> Juliusz </w:t>
      </w:r>
      <w:proofErr w:type="spellStart"/>
      <w:r>
        <w:t>Solinus</w:t>
      </w:r>
      <w:proofErr w:type="spellEnd"/>
      <w:r>
        <w:t xml:space="preserve">, </w:t>
      </w:r>
      <w:r w:rsidRPr="00EC4915">
        <w:rPr>
          <w:i/>
          <w:iCs/>
        </w:rPr>
        <w:t>Zbiór wiadomości godnych uwagi albo Polihistor</w:t>
      </w:r>
      <w:r>
        <w:t>, przeł. BJ. Kołoczek, Kraków 2020, s. 167-171 (O Hiperborejczykach), 211-219 (</w:t>
      </w:r>
      <w:proofErr w:type="spellStart"/>
      <w:r>
        <w:t>Etiopowie</w:t>
      </w:r>
      <w:proofErr w:type="spellEnd"/>
      <w:r>
        <w:t>, ludy Libii)</w:t>
      </w:r>
    </w:p>
    <w:p w14:paraId="422FE70B" w14:textId="77777777" w:rsidR="00EC4915" w:rsidRDefault="00EC4915" w:rsidP="00FA6424"/>
    <w:p w14:paraId="3E2364CD" w14:textId="459A9E7A" w:rsidR="00F719E4" w:rsidRDefault="00EC4915" w:rsidP="00F719E4">
      <w:r>
        <w:t>8</w:t>
      </w:r>
      <w:r w:rsidR="00F719E4">
        <w:t xml:space="preserve">. Tabula </w:t>
      </w:r>
      <w:proofErr w:type="spellStart"/>
      <w:r w:rsidR="00F719E4">
        <w:t>Puetingeriana</w:t>
      </w:r>
      <w:proofErr w:type="spellEnd"/>
    </w:p>
    <w:p w14:paraId="45FC5BCC" w14:textId="6CB6BAE1" w:rsidR="00735CFB" w:rsidRDefault="00735CFB" w:rsidP="00FA6424"/>
    <w:p w14:paraId="392C2F31" w14:textId="460F80D2" w:rsidR="00F719E4" w:rsidRDefault="00EC4915" w:rsidP="00FA6424">
      <w:r>
        <w:t>9</w:t>
      </w:r>
      <w:r w:rsidR="00F719E4" w:rsidRPr="00F719E4">
        <w:t>.</w:t>
      </w:r>
      <w:r w:rsidR="00F719E4">
        <w:rPr>
          <w:i/>
          <w:iCs/>
        </w:rPr>
        <w:t xml:space="preserve"> </w:t>
      </w:r>
      <w:r w:rsidR="00F719E4" w:rsidRPr="00F719E4">
        <w:rPr>
          <w:i/>
          <w:iCs/>
        </w:rPr>
        <w:t>Księga Monstrów</w:t>
      </w:r>
      <w:r w:rsidR="00F719E4">
        <w:t>, J. Sokolski, Wrocław 2019, s. 131-155</w:t>
      </w:r>
    </w:p>
    <w:p w14:paraId="03D49CE0" w14:textId="77777777" w:rsidR="00F719E4" w:rsidRDefault="00F719E4" w:rsidP="00FA6424"/>
    <w:p w14:paraId="5BC35034" w14:textId="51CB760A" w:rsidR="00735CFB" w:rsidRDefault="00EC4915" w:rsidP="00FA6424">
      <w:r>
        <w:t>10</w:t>
      </w:r>
      <w:r w:rsidR="00F719E4">
        <w:t xml:space="preserve">. </w:t>
      </w:r>
      <w:r w:rsidR="00735CFB">
        <w:t xml:space="preserve">Mapy O-T i </w:t>
      </w:r>
      <w:proofErr w:type="spellStart"/>
      <w:r w:rsidR="00735CFB">
        <w:t>Mappae</w:t>
      </w:r>
      <w:proofErr w:type="spellEnd"/>
      <w:r w:rsidR="00735CFB">
        <w:t xml:space="preserve"> </w:t>
      </w:r>
      <w:proofErr w:type="spellStart"/>
      <w:r w:rsidR="00735CFB">
        <w:t>Mundi</w:t>
      </w:r>
      <w:proofErr w:type="spellEnd"/>
    </w:p>
    <w:p w14:paraId="60171197" w14:textId="5C973E22" w:rsidR="00735CFB" w:rsidRDefault="00735CFB" w:rsidP="00FA6424"/>
    <w:p w14:paraId="31378455" w14:textId="0A0147C7" w:rsidR="00D839B9" w:rsidRDefault="00010BBD" w:rsidP="00FA6424">
      <w:r>
        <w:t>1</w:t>
      </w:r>
      <w:r w:rsidR="00EC4915">
        <w:t>1</w:t>
      </w:r>
      <w:r w:rsidR="00F719E4">
        <w:t xml:space="preserve">. </w:t>
      </w:r>
      <w:r w:rsidR="00D839B9" w:rsidRPr="000B487E">
        <w:rPr>
          <w:i/>
          <w:iCs/>
        </w:rPr>
        <w:t>Opowieść o Sindbadzie Żeglarzu</w:t>
      </w:r>
      <w:r w:rsidR="00D839B9">
        <w:t xml:space="preserve">, przeł. W. Kubiak, [w:] </w:t>
      </w:r>
      <w:r w:rsidR="00D839B9" w:rsidRPr="00D839B9">
        <w:rPr>
          <w:i/>
          <w:iCs/>
        </w:rPr>
        <w:t>Księga tysiąca i jednej nocy. Wybór</w:t>
      </w:r>
      <w:r w:rsidR="00D839B9" w:rsidRPr="00D839B9">
        <w:t>, Warszawa 1987</w:t>
      </w:r>
    </w:p>
    <w:p w14:paraId="583C1AA2" w14:textId="77777777" w:rsidR="00D839B9" w:rsidRPr="00735CFB" w:rsidRDefault="00D839B9" w:rsidP="00FA6424"/>
    <w:p w14:paraId="5A1731E5" w14:textId="107873B7" w:rsidR="009827C9" w:rsidRDefault="00010BBD">
      <w:r>
        <w:t>1</w:t>
      </w:r>
      <w:r w:rsidR="00EC4915">
        <w:t>2</w:t>
      </w:r>
      <w:r w:rsidR="00F719E4">
        <w:t xml:space="preserve">. </w:t>
      </w:r>
      <w:r w:rsidR="009827C9">
        <w:t xml:space="preserve">Marko Polo, </w:t>
      </w:r>
      <w:r w:rsidR="00F719E4" w:rsidRPr="00F719E4">
        <w:rPr>
          <w:i/>
          <w:iCs/>
        </w:rPr>
        <w:t>Opisanie świata</w:t>
      </w:r>
      <w:r w:rsidR="00F719E4">
        <w:t xml:space="preserve">, przeł. A.L. Czerny, Warszawa 1954, </w:t>
      </w:r>
      <w:r w:rsidR="009827C9">
        <w:t>s.</w:t>
      </w:r>
      <w:r w:rsidR="007D43F4">
        <w:t xml:space="preserve"> 95-96 (wstęp), </w:t>
      </w:r>
      <w:r w:rsidR="009827C9">
        <w:t xml:space="preserve"> </w:t>
      </w:r>
      <w:r w:rsidR="007D43F4">
        <w:t xml:space="preserve">445-449 (Cejlon), </w:t>
      </w:r>
      <w:r w:rsidR="009827C9">
        <w:t xml:space="preserve">467-473 (wyspy </w:t>
      </w:r>
      <w:proofErr w:type="spellStart"/>
      <w:r w:rsidR="009827C9">
        <w:t>Mogdaszo</w:t>
      </w:r>
      <w:proofErr w:type="spellEnd"/>
      <w:r w:rsidR="009827C9">
        <w:t xml:space="preserve"> i </w:t>
      </w:r>
      <w:proofErr w:type="spellStart"/>
      <w:r w:rsidR="009827C9">
        <w:t>Zangibar</w:t>
      </w:r>
      <w:proofErr w:type="spellEnd"/>
      <w:r w:rsidR="009827C9">
        <w:t>)</w:t>
      </w:r>
    </w:p>
    <w:p w14:paraId="719CF197" w14:textId="77777777" w:rsidR="007A13A5" w:rsidRDefault="007A13A5"/>
    <w:p w14:paraId="153CB01D" w14:textId="1484E5F0" w:rsidR="001A450D" w:rsidRDefault="00F719E4">
      <w:r>
        <w:t>1</w:t>
      </w:r>
      <w:r w:rsidR="00EC4915">
        <w:t>3</w:t>
      </w:r>
      <w:r>
        <w:t xml:space="preserve">. </w:t>
      </w:r>
      <w:r w:rsidR="009532B0">
        <w:t xml:space="preserve">Ibn </w:t>
      </w:r>
      <w:proofErr w:type="spellStart"/>
      <w:r w:rsidR="009532B0">
        <w:t>Battuta</w:t>
      </w:r>
      <w:proofErr w:type="spellEnd"/>
      <w:r w:rsidR="009532B0">
        <w:t xml:space="preserve">, </w:t>
      </w:r>
      <w:r w:rsidRPr="00F719E4">
        <w:rPr>
          <w:i/>
          <w:iCs/>
        </w:rPr>
        <w:t>Osobliwości miast i dziwy podróży</w:t>
      </w:r>
      <w:r>
        <w:t xml:space="preserve">, przeł. T. Majda, H. </w:t>
      </w:r>
      <w:proofErr w:type="spellStart"/>
      <w:r>
        <w:t>Natorf</w:t>
      </w:r>
      <w:proofErr w:type="spellEnd"/>
      <w:r>
        <w:t xml:space="preserve">, Warszawa 2008, </w:t>
      </w:r>
      <w:r w:rsidR="009532B0">
        <w:t>s. 126-131 (Konstantynopol), 252-259 (Cejlon)</w:t>
      </w:r>
    </w:p>
    <w:p w14:paraId="18F5D828" w14:textId="4D4A2E75" w:rsidR="008744FB" w:rsidRDefault="008744FB"/>
    <w:p w14:paraId="31E52A2D" w14:textId="74040DD0" w:rsidR="00EC4915" w:rsidRDefault="00EC4915">
      <w:r>
        <w:t xml:space="preserve">Ocena końcowa: średnia arytmetyczna </w:t>
      </w:r>
      <w:r w:rsidR="00AB03F2">
        <w:t>ze sprawdzianów</w:t>
      </w:r>
      <w:r w:rsidR="00BB6CF6">
        <w:t xml:space="preserve"> (</w:t>
      </w:r>
      <w:r>
        <w:t>wejściówek</w:t>
      </w:r>
      <w:r w:rsidR="00BB6CF6">
        <w:t>)</w:t>
      </w:r>
      <w:r>
        <w:t>; dla chęt</w:t>
      </w:r>
      <w:r w:rsidR="00BB6CF6">
        <w:t>n</w:t>
      </w:r>
      <w:r>
        <w:t xml:space="preserve">ych i dla osób, które uzyskały ocenę niższą niż 3 sprawdzian końcowy w formie testowej (pytania </w:t>
      </w:r>
      <w:r>
        <w:lastRenderedPageBreak/>
        <w:t>otwarte i zamknięte), obejmujący całość materiału</w:t>
      </w:r>
      <w:r w:rsidR="00AB03F2">
        <w:t xml:space="preserve">. Sprawdziany przeprowadzane na platformie </w:t>
      </w:r>
      <w:proofErr w:type="spellStart"/>
      <w:r w:rsidR="00AB03F2">
        <w:t>Moodle</w:t>
      </w:r>
      <w:proofErr w:type="spellEnd"/>
      <w:r w:rsidR="00AB03F2">
        <w:t>.</w:t>
      </w:r>
    </w:p>
    <w:sectPr w:rsidR="00EC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F203" w14:textId="77777777" w:rsidR="0099519A" w:rsidRDefault="0099519A" w:rsidP="00EC4915">
      <w:pPr>
        <w:spacing w:line="240" w:lineRule="auto"/>
      </w:pPr>
      <w:r>
        <w:separator/>
      </w:r>
    </w:p>
  </w:endnote>
  <w:endnote w:type="continuationSeparator" w:id="0">
    <w:p w14:paraId="21BEBCBD" w14:textId="77777777" w:rsidR="0099519A" w:rsidRDefault="0099519A" w:rsidP="00EC4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26EFB" w14:textId="77777777" w:rsidR="0099519A" w:rsidRDefault="0099519A" w:rsidP="00EC4915">
      <w:pPr>
        <w:spacing w:line="240" w:lineRule="auto"/>
      </w:pPr>
      <w:r>
        <w:separator/>
      </w:r>
    </w:p>
  </w:footnote>
  <w:footnote w:type="continuationSeparator" w:id="0">
    <w:p w14:paraId="11F92347" w14:textId="77777777" w:rsidR="0099519A" w:rsidRDefault="0099519A" w:rsidP="00EC49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28C"/>
    <w:multiLevelType w:val="hybridMultilevel"/>
    <w:tmpl w:val="D572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21A"/>
    <w:multiLevelType w:val="hybridMultilevel"/>
    <w:tmpl w:val="20D8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5DA7"/>
    <w:multiLevelType w:val="hybridMultilevel"/>
    <w:tmpl w:val="CA88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E69B3"/>
    <w:multiLevelType w:val="hybridMultilevel"/>
    <w:tmpl w:val="1820E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7BED"/>
    <w:multiLevelType w:val="hybridMultilevel"/>
    <w:tmpl w:val="B418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38"/>
    <w:rsid w:val="00010BBD"/>
    <w:rsid w:val="000B487E"/>
    <w:rsid w:val="001A450D"/>
    <w:rsid w:val="001E2814"/>
    <w:rsid w:val="003C4438"/>
    <w:rsid w:val="003F0694"/>
    <w:rsid w:val="00547770"/>
    <w:rsid w:val="005D7A94"/>
    <w:rsid w:val="00670369"/>
    <w:rsid w:val="00704D90"/>
    <w:rsid w:val="00735CFB"/>
    <w:rsid w:val="007A01B0"/>
    <w:rsid w:val="007A13A5"/>
    <w:rsid w:val="007D43F4"/>
    <w:rsid w:val="008744FB"/>
    <w:rsid w:val="008B3803"/>
    <w:rsid w:val="009532B0"/>
    <w:rsid w:val="009827C9"/>
    <w:rsid w:val="00987373"/>
    <w:rsid w:val="0099519A"/>
    <w:rsid w:val="00AB03F2"/>
    <w:rsid w:val="00B50EC4"/>
    <w:rsid w:val="00BB6CF6"/>
    <w:rsid w:val="00BD248A"/>
    <w:rsid w:val="00C732C7"/>
    <w:rsid w:val="00CD529C"/>
    <w:rsid w:val="00D839B9"/>
    <w:rsid w:val="00EC4915"/>
    <w:rsid w:val="00F16FA8"/>
    <w:rsid w:val="00F178BF"/>
    <w:rsid w:val="00F35B98"/>
    <w:rsid w:val="00F719E4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8A8F"/>
  <w15:chartTrackingRefBased/>
  <w15:docId w15:val="{C3CA138C-D918-4616-B409-31766F2C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4"/>
    <w:pPr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704D90"/>
    <w:pPr>
      <w:spacing w:after="200" w:line="276" w:lineRule="auto"/>
    </w:pPr>
    <w:rPr>
      <w:rFonts w:ascii="Tahoma" w:eastAsia="Times New Roman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90"/>
    <w:rPr>
      <w:rFonts w:ascii="Tahoma" w:eastAsia="Times New Roman" w:hAnsi="Tahoma" w:cs="Tahoma"/>
      <w:sz w:val="24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5477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70"/>
    <w:rPr>
      <w:rFonts w:ascii="Times New Roman" w:hAnsi="Times New Roman"/>
      <w:sz w:val="20"/>
      <w:szCs w:val="20"/>
    </w:rPr>
  </w:style>
  <w:style w:type="paragraph" w:customStyle="1" w:styleId="Footnote">
    <w:name w:val="Footnote"/>
    <w:basedOn w:val="Normalny"/>
    <w:autoRedefine/>
    <w:qFormat/>
    <w:rsid w:val="001E2814"/>
    <w:pPr>
      <w:suppressLineNumbers/>
      <w:suppressAutoHyphens/>
      <w:autoSpaceDN w:val="0"/>
      <w:spacing w:line="240" w:lineRule="auto"/>
      <w:ind w:left="339" w:hanging="339"/>
      <w:textAlignment w:val="baseline"/>
    </w:pPr>
    <w:rPr>
      <w:rFonts w:eastAsia="SimSun" w:cs="Lucida Sans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FA64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1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1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Piwowarczyk</dc:creator>
  <cp:keywords/>
  <dc:description/>
  <cp:lastModifiedBy>Piwowarczyk</cp:lastModifiedBy>
  <cp:revision>14</cp:revision>
  <cp:lastPrinted>2020-10-05T08:35:00Z</cp:lastPrinted>
  <dcterms:created xsi:type="dcterms:W3CDTF">2020-10-02T09:30:00Z</dcterms:created>
  <dcterms:modified xsi:type="dcterms:W3CDTF">2020-10-12T09:10:00Z</dcterms:modified>
</cp:coreProperties>
</file>